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5" w:beforeAutospacing="0" w:after="525" w:afterAutospacing="0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45"/>
          <w:szCs w:val="45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45"/>
          <w:szCs w:val="45"/>
          <w:bdr w:val="none" w:color="auto" w:sz="0" w:space="0"/>
          <w:shd w:val="clear" w:fill="FFFFFF"/>
        </w:rPr>
        <w:t>辽宁省关于调整2020年部分补贴农机具参数配置及补贴额的公示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各市农业农村局、沈抚示范区产业发展局，有关农机产销企业：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根据2020年辽宁省补贴农机具产品结构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、质量性能、市场价格、供需关系、机具存量等因素变化情况，辽宁省农业农村厅拟对2020年辽宁省农机购置补贴额一览表中的联合整地机、施肥机、喷杆喷雾机、花生收获机(自走式)、打(压)捆机、秸杆压块(粒、棒)机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"https://www.nongjitong.com/product/7936.html" \o "轮拖产品" \t "http://www.nongjitong.com/news/2021/_blank"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拖拉机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7个品目39个档次基本参数配置进行了相应调整，重新测算了补贴额(详见附件)，现予以公示。公示期为五个工作日。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公示期间，请各市农业农村局和有关农机产销企业提出意见和建议。有关意见和建议要实事求是、认真论证、真实可靠，并标注联系人、联系电话、单位和公章，采用PDF格式文件发至邮箱lnsnjj@sina.com。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联系人：史祝男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联系电话：024-23448700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1125" w:right="0" w:hanging="1600" w:hangingChars="5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AB6FD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附件：辽宁省2018-2020年农机购置补贴机具补贴额一览表(2020年底部分调整)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righ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辽宁省农业农村厅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4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2021年1月12日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4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4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color w:val="333333"/>
          <w:sz w:val="36"/>
          <w:szCs w:val="36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辽宁省2018-2020年农机购置补贴机具补贴额一览表（2020年底部分调整）</w:t>
      </w:r>
    </w:p>
    <w:tbl>
      <w:tblPr>
        <w:tblStyle w:val="4"/>
        <w:tblpPr w:leftFromText="180" w:rightFromText="180" w:vertAnchor="text" w:horzAnchor="page" w:tblpX="1787" w:tblpY="973"/>
        <w:tblOverlap w:val="never"/>
        <w:tblW w:w="4998" w:type="pct"/>
        <w:tblInd w:w="0" w:type="dxa"/>
        <w:tblBorders>
          <w:top w:val="single" w:color="DDDDDD" w:sz="6" w:space="0"/>
          <w:left w:val="outset" w:color="auto" w:sz="0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753"/>
        <w:gridCol w:w="819"/>
        <w:gridCol w:w="819"/>
        <w:gridCol w:w="1261"/>
        <w:gridCol w:w="3201"/>
        <w:gridCol w:w="1107"/>
      </w:tblGrid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号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大类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小类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品目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分档名称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基本配置和参数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中央补贴额（元）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耕整地机械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整地机械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联合整地机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复式少、免耕联合整地机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深松深度≥30cm；耕幅≥3m；配套动力≥180马力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13900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种植施肥机械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施肥机械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施肥机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6行及以上水稻</w:t>
            </w:r>
            <w:r>
              <w:rPr>
                <w:rFonts w:hint="default" w:ascii="Helvetica" w:hAnsi="Helvetica" w:eastAsia="Helvetica" w:cs="Helvetica"/>
                <w:color w:val="1AB6FD"/>
                <w:kern w:val="0"/>
                <w:sz w:val="13"/>
                <w:szCs w:val="13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color w:val="1AB6FD"/>
                <w:kern w:val="0"/>
                <w:sz w:val="13"/>
                <w:szCs w:val="13"/>
                <w:u w:val="none"/>
                <w:lang w:val="en-US" w:eastAsia="zh-CN" w:bidi="ar"/>
              </w:rPr>
              <w:instrText xml:space="preserve"> HYPERLINK "https://www.nongjitong.com/product/7899.html" \o "水稻插秧机" \t "http://www.nongjitong.com/news/2021/_blank" </w:instrText>
            </w:r>
            <w:r>
              <w:rPr>
                <w:rFonts w:hint="default" w:ascii="Helvetica" w:hAnsi="Helvetica" w:eastAsia="Helvetica" w:cs="Helvetica"/>
                <w:color w:val="1AB6FD"/>
                <w:kern w:val="0"/>
                <w:sz w:val="13"/>
                <w:szCs w:val="13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Helvetica" w:hAnsi="Helvetica" w:eastAsia="Helvetica" w:cs="Helvetica"/>
                <w:color w:val="1AB6FD"/>
                <w:sz w:val="13"/>
                <w:szCs w:val="13"/>
                <w:u w:val="none"/>
              </w:rPr>
              <w:t>插秧机</w:t>
            </w:r>
            <w:r>
              <w:rPr>
                <w:rFonts w:hint="default" w:ascii="Helvetica" w:hAnsi="Helvetica" w:eastAsia="Helvetica" w:cs="Helvetica"/>
                <w:color w:val="1AB6FD"/>
                <w:kern w:val="0"/>
                <w:sz w:val="13"/>
                <w:szCs w:val="13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配套水稻侧深施肥装置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为6行及以上水稻插秧机配套，由施肥管、排肥器、连接管和施肥箱等构成，安装在水稻插秧机机架上，实现插秧同时进行侧深施肥联合作业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5300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田间管理机械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植保机械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喷杆喷雾机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18m及以上悬挂及牵引式喷杆喷雾机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喷杆长度≥18m；形式：悬挂及牵引式，药箱容积：≥1000L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3900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田间管理机械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植保机械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喷杆喷雾机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18-50马力自走式喷杆喷雾机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18马力≤功率＜50马力；形式：自走式，四轮驱动、四轮转向；离地间隙≥0.8m；药箱容积≥500L；喷杆长度≥10m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17500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田间管理机械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植保机械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喷杆喷雾机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50-100马力自走式喷杆喷雾机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50马力≤功率＜100马力；形式：自走式，四轮驱动、四轮转向；离地间隙≥0.8m；药箱容积≥1000L；喷杆长度≥16m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19800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田间管理机械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植保机械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喷杆喷雾机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100马力及以上自走式喷杆喷雾机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功率≥100马力；形式：自走式，四轮驱动、四轮转向；离地间隙≥0.8m；药箱容积≥1500L；喷杆长度≥18m   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28300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收获机械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根茎作物收获机械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花生收获机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花生捡拾收获机（自走式）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幅宽≥2.5m；自走式（含捡拾、分离、摘果、集箱、秧蔓收集等功能）；动力≥29kw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35000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收获机械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饲料作物收获机械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打（压）捆机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0.7—1.2m捡拾压捆机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 0.7m≤捡拾宽度＜1.2m；方捆捡拾压捆机压缩室截面尺寸≥300mm×340mm，打结器数量≥2个；圆捆捡拾压捆机压缩室直径≥550mm，压缩室长（宽）度≥700mm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5700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收获机械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饲料作物收获机械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打（压）捆机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1.2—1.7m捡拾压捆机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1.2m≤捡拾宽度＜1.7m；方捆捡拾压捆机压缩室截面尺寸≥340mm×400mm，打结器数量≥2个；圆捆捡拾压捆机压缩室直径≥600mm，压缩室长（宽）度≥1000mm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收获机械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饲料作物收获机械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打（压）捆机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1.7—2.2m捡拾压捆机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1.7m≤捡拾宽度＜2.2m；方捆捡拾压捆机压缩室截面尺寸≥340mm×440mm，打结器数量≥2个；圆捆捡拾压捆机压缩室直径≥1000mm，压缩室长（宽）度≥1200mm               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25800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收获机械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饲料作物收获机械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打（压）捆机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2.2m及以上捡拾压捆机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捡拾宽度≥2.2m；方捆捡拾压捆机压缩室截面尺寸≥340mm×460mm，打结器数量≥2个；圆捆捡拾压捆机压缩室直径≥1000mm，压缩室长（宽）度≥1200mm 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收获机械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饲料作物收获机械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打（压）捆机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15kW及以上方捆压捆机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方捆；功率≥15kW                  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7300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农业废弃物利用处理设备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废弃物处理设备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秸秆压块（粒、棒）机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0.5-1T/H秸秆压块（粒、棒）机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0.5T/H≤生产率＜1T/H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农业废弃物利用处理设备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废弃物处理设备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秸秆压块（粒、棒）机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1-2T/H秸秆压块（粒、棒）机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1T/H≤生产率＜2T/H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农业废弃物利用处理设备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废弃物处理设备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秸秆压块（粒、棒）机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2T/H及以上秸秆压块（粒、棒）机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生产率≥2T/H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16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20-30马力两轮驱动拖拉机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20马力≤功率＜30马力；驱动方式：两轮驱动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3500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17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30-40马力两轮驱动拖拉机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30马力≤功率＜40马力；驱动方式：两轮驱动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3900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18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40-50马力两轮驱动拖拉机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40马力≤功率＜50马力；驱动方式：两轮驱动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5800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19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50-60马力两轮驱动拖拉机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50马力≤功率＜60马力；驱动方式：两轮驱动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7200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60-70马力两轮驱动拖拉机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60马力≤功率＜70马力；驱动方式：两轮驱动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7700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21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70-80马力两轮驱动拖拉机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70马力≤功率＜80马力；驱动方式：两轮驱动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10500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22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80-90马力两轮驱动拖拉机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80马力≤功率＜90马力；驱动方式：两轮驱动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11900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23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90-100马力两轮驱动拖拉机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90马力≤功率＜100马力；驱动方式：两轮驱动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14700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24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100马力及以上两轮驱动拖拉机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功率≥100马力；驱动方式：两轮驱动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15800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25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20马力以下四轮驱动拖拉机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功率＜20马力；驱动方式：四轮驱动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2100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26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20-30马力四轮驱动拖拉机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20马力≤功率＜30马力；驱动方式：四轮驱动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6200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27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30-40马力四轮驱动拖拉机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30马力≤功率＜40马力；驱动方式：四轮驱动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10300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28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40-50马力四轮驱动拖拉机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40马力≤功率＜50马力；驱动方式：四轮驱动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11400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29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50-60马力四轮驱动拖拉机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50马力≤功率＜60马力；驱动方式：四轮驱动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60-70马力四轮驱动拖拉机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60马力≤功率＜70马力；驱动方式：四轮驱动，K≥28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13300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31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70-80马力四轮驱动拖拉机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70马力≤功率＜80马力；驱动方式：四轮驱动，K≥28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13600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32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80-90马力四轮驱动拖拉机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80马力≤功率＜90马力；驱动方式：四轮驱动，K≥30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14100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33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90-100马力四轮驱动拖拉机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90马力≤功率＜100马力；驱动方式：四轮驱动，K≥30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19600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34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100-120马力四轮驱动拖拉机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100马力≤功率＜120马力；驱动方式：四轮驱动，K≥32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23200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35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120-140马力四轮驱动拖拉机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120马力≤功率＜140马力；驱动方式：四轮驱动，K≥32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31300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36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140-160马力四轮驱动拖拉机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140马力≤功率＜160马力；驱动方式：四轮驱动，K≥32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39500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37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160-180马力四轮驱动拖拉机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160马力≤功率＜180马力；驱动方式：四轮驱动，K≥32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38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180-200马力四轮驱动拖拉机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180马力≤功率＜200马力；驱动方式：四轮驱动，K≥32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55600</w:t>
            </w:r>
          </w:p>
        </w:tc>
      </w:tr>
      <w:tr>
        <w:tblPrEx>
          <w:tblBorders>
            <w:top w:val="single" w:color="DDDDDD" w:sz="6" w:space="0"/>
            <w:left w:val="outset" w:color="auto" w:sz="0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39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动力机械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拖拉机</w:t>
            </w:r>
          </w:p>
        </w:tc>
        <w:tc>
          <w:tcPr>
            <w:tcW w:w="4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轮式拖拉机</w:t>
            </w:r>
          </w:p>
        </w:tc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200马力及以上四轮驱动拖拉机</w:t>
            </w:r>
          </w:p>
        </w:tc>
        <w:tc>
          <w:tcPr>
            <w:tcW w:w="18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功率≥200马力；驱动方式：四轮驱动，K≥32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13"/>
                <w:szCs w:val="13"/>
              </w:rPr>
            </w:pPr>
            <w:r>
              <w:rPr>
                <w:rFonts w:hint="default" w:ascii="Helvetica" w:hAnsi="Helvetica" w:eastAsia="Helvetica" w:cs="Helvetica"/>
                <w:kern w:val="0"/>
                <w:sz w:val="13"/>
                <w:szCs w:val="13"/>
                <w:lang w:val="en-US" w:eastAsia="zh-CN" w:bidi="ar"/>
              </w:rPr>
              <w:t>82000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Helvetica" w:hAnsi="Helvetica" w:eastAsia="Helvetica" w:cs="Helvetica"/>
          <w:color w:val="333333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说明：1.表中显示红色的品目档次为基本配置和参数调整或补贴额调减内容；2.拖拉机“基本配置和参数”中K为拖拉机最小使用质量（kg）与功率（马力）的比值； 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B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2021-10-26T03:01:43Z</dcterms:created>
  <dc:creator>dell</dc:creator>
  <cp:lastModifiedBy>月熊</cp:lastModifiedBy>
  <dcterms:modified xsi:type="dcterms:W3CDTF">2021-10-26T03:05:12Z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124DD76C97C94E059EE473FDF9F3CD99</vt:lpwstr>
  </property>
</Properties>
</file>